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4C201" w14:textId="1C86CFEC" w:rsidR="00A34CC2" w:rsidRPr="00CA2A40" w:rsidRDefault="00E32DDC" w:rsidP="00A34CC2">
      <w:pPr>
        <w:pStyle w:val="afb"/>
        <w:rPr>
          <w:rFonts w:eastAsia="宋体"/>
          <w:szCs w:val="22"/>
          <w:lang w:eastAsia="zh-CN"/>
        </w:rPr>
      </w:pPr>
      <w:bookmarkStart w:id="0" w:name="_Ref399006623"/>
      <w:bookmarkStart w:id="1" w:name="_Toc92513360"/>
      <w:r w:rsidRPr="00CA2A40">
        <w:rPr>
          <w:szCs w:val="22"/>
        </w:rPr>
        <w:t>3GPP TSG-RAN WG4 Meeting #</w:t>
      </w:r>
      <w:r w:rsidR="00A34CC2" w:rsidRPr="00CA2A40">
        <w:rPr>
          <w:rFonts w:cs="Arial"/>
          <w:szCs w:val="22"/>
        </w:rPr>
        <w:t>11</w:t>
      </w:r>
      <w:r w:rsidR="00A34CC2">
        <w:rPr>
          <w:rFonts w:cs="Arial"/>
          <w:szCs w:val="22"/>
        </w:rPr>
        <w:t>4</w:t>
      </w:r>
      <w:r w:rsidR="00A34CC2" w:rsidRPr="00CA2A40">
        <w:rPr>
          <w:rFonts w:cs="Arial"/>
          <w:szCs w:val="22"/>
        </w:rPr>
        <w:t xml:space="preserve">    </w:t>
      </w:r>
      <w:r w:rsidR="00A34CC2" w:rsidRPr="00CA2A40">
        <w:rPr>
          <w:rFonts w:eastAsia="宋体" w:hint="eastAsia"/>
          <w:szCs w:val="22"/>
          <w:lang w:eastAsia="zh-CN"/>
        </w:rPr>
        <w:t xml:space="preserve">            </w:t>
      </w:r>
      <w:r w:rsidR="00A34CC2" w:rsidRPr="00CA2A40">
        <w:rPr>
          <w:rFonts w:eastAsia="宋体"/>
          <w:szCs w:val="22"/>
          <w:lang w:eastAsia="zh-CN"/>
        </w:rPr>
        <w:t xml:space="preserve">   </w:t>
      </w:r>
      <w:r w:rsidR="00A34CC2" w:rsidRPr="00CA2A40">
        <w:rPr>
          <w:rFonts w:eastAsia="宋体" w:hint="eastAsia"/>
          <w:szCs w:val="22"/>
          <w:lang w:eastAsia="zh-CN"/>
        </w:rPr>
        <w:t xml:space="preserve">         </w:t>
      </w:r>
      <w:r w:rsidR="00A34CC2">
        <w:rPr>
          <w:rFonts w:eastAsia="宋体"/>
          <w:szCs w:val="22"/>
          <w:lang w:eastAsia="zh-CN"/>
        </w:rPr>
        <w:t xml:space="preserve">    </w:t>
      </w:r>
      <w:r w:rsidR="00A34CC2" w:rsidRPr="00CA2A40">
        <w:rPr>
          <w:rFonts w:eastAsia="宋体" w:hint="eastAsia"/>
          <w:szCs w:val="22"/>
          <w:lang w:eastAsia="zh-CN"/>
        </w:rPr>
        <w:t xml:space="preserve">  </w:t>
      </w:r>
      <w:r w:rsidR="00A34CC2" w:rsidRPr="00CA2A40">
        <w:rPr>
          <w:rFonts w:eastAsia="宋体"/>
          <w:szCs w:val="22"/>
          <w:lang w:eastAsia="zh-CN"/>
        </w:rPr>
        <w:t xml:space="preserve">   </w:t>
      </w:r>
      <w:r w:rsidR="00A34CC2">
        <w:rPr>
          <w:rFonts w:eastAsia="宋体"/>
          <w:szCs w:val="22"/>
          <w:lang w:eastAsia="zh-CN"/>
        </w:rPr>
        <w:t xml:space="preserve">   </w:t>
      </w:r>
      <w:r w:rsidR="00A34CC2" w:rsidRPr="00CA2A40">
        <w:rPr>
          <w:rFonts w:eastAsia="宋体"/>
          <w:szCs w:val="22"/>
          <w:lang w:eastAsia="zh-CN"/>
        </w:rPr>
        <w:t xml:space="preserve"> </w:t>
      </w:r>
      <w:r w:rsidR="004337E0">
        <w:rPr>
          <w:szCs w:val="22"/>
        </w:rPr>
        <w:t>R4-2501841</w:t>
      </w:r>
    </w:p>
    <w:p w14:paraId="1DC1B158" w14:textId="3F537D6D" w:rsidR="00675C27" w:rsidRPr="00CA2A40" w:rsidRDefault="00A34CC2" w:rsidP="00A34CC2">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43B69B4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FE4602" w:rsidRPr="00FE4602">
        <w:rPr>
          <w:rFonts w:ascii="Arial" w:hAnsi="Arial" w:cs="Arial"/>
          <w:sz w:val="22"/>
          <w:szCs w:val="22"/>
        </w:rPr>
        <w:t>potentially new requirements for SBFD</w:t>
      </w:r>
    </w:p>
    <w:p w14:paraId="4FD55D83" w14:textId="6DEFF62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02C19">
        <w:rPr>
          <w:rFonts w:ascii="Arial" w:hAnsi="Arial" w:cs="Arial"/>
          <w:sz w:val="22"/>
          <w:szCs w:val="22"/>
        </w:rPr>
        <w:t>7</w:t>
      </w:r>
      <w:r w:rsidR="00620221">
        <w:rPr>
          <w:rFonts w:ascii="Arial" w:hAnsi="Arial" w:cs="Arial"/>
          <w:sz w:val="22"/>
          <w:szCs w:val="22"/>
        </w:rPr>
        <w:t>.</w:t>
      </w:r>
      <w:r w:rsidR="00E32DDC">
        <w:rPr>
          <w:rFonts w:ascii="Arial" w:hAnsi="Arial" w:cs="Arial"/>
          <w:sz w:val="22"/>
          <w:szCs w:val="22"/>
        </w:rPr>
        <w:t>2</w:t>
      </w:r>
      <w:r w:rsidR="003373AD">
        <w:rPr>
          <w:rFonts w:ascii="Arial" w:hAnsi="Arial" w:cs="Arial"/>
          <w:sz w:val="22"/>
          <w:szCs w:val="22"/>
        </w:rPr>
        <w:t>3</w:t>
      </w:r>
      <w:r w:rsidR="00620221">
        <w:rPr>
          <w:rFonts w:ascii="Arial" w:hAnsi="Arial" w:cs="Arial"/>
          <w:sz w:val="22"/>
          <w:szCs w:val="22"/>
        </w:rPr>
        <w:t>.</w:t>
      </w:r>
      <w:r w:rsidR="00FE4602">
        <w:rPr>
          <w:rFonts w:ascii="Arial" w:hAnsi="Arial" w:cs="Arial"/>
          <w:sz w:val="22"/>
          <w:szCs w:val="22"/>
        </w:rPr>
        <w:t>2.</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5A25C0E" w:rsidR="00AB1467" w:rsidRDefault="00E11C52" w:rsidP="00AB1467">
      <w:pPr>
        <w:jc w:val="both"/>
      </w:pPr>
      <w:r>
        <w:t>During</w:t>
      </w:r>
      <w:r w:rsidR="00AB1467">
        <w:t xml:space="preserve"> RAN</w:t>
      </w:r>
      <w:r w:rsidR="009676FD">
        <w:t>4</w:t>
      </w:r>
      <w:r w:rsidR="008B6EC4">
        <w:t>#</w:t>
      </w:r>
      <w:r w:rsidR="00F72EAC">
        <w:t>1</w:t>
      </w:r>
      <w:r w:rsidR="009676FD">
        <w:t>1</w:t>
      </w:r>
      <w:r w:rsidR="009E2A52">
        <w:t>3</w:t>
      </w:r>
      <w:r w:rsidR="008B6EC4">
        <w:t xml:space="preserve">, </w:t>
      </w:r>
      <w:r w:rsidR="00E67330">
        <w:t>potentially new requirements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C36C43">
        <w:t xml:space="preserve"> and FFS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32AB3A17" w14:textId="77777777" w:rsidR="00DB58F9" w:rsidRDefault="00DB58F9" w:rsidP="00DB58F9">
            <w:pPr>
              <w:pStyle w:val="5"/>
              <w:ind w:left="864" w:hanging="864"/>
              <w:outlineLvl w:val="4"/>
            </w:pPr>
            <w:r>
              <w:t>Transient period requirement applicability on frequency/antenna</w:t>
            </w:r>
          </w:p>
          <w:p w14:paraId="6DE04504" w14:textId="77777777" w:rsidR="00DB58F9" w:rsidRDefault="00DB58F9" w:rsidP="00DB58F9">
            <w:pPr>
              <w:spacing w:after="120" w:line="259" w:lineRule="auto"/>
              <w:rPr>
                <w:highlight w:val="green"/>
                <w:lang w:val="en-US"/>
              </w:rPr>
            </w:pPr>
            <w:r>
              <w:rPr>
                <w:highlight w:val="green"/>
                <w:lang w:val="en-US"/>
              </w:rPr>
              <w:t>Agreement:</w:t>
            </w:r>
          </w:p>
          <w:p w14:paraId="4FC4A14A" w14:textId="77777777" w:rsidR="00DB58F9" w:rsidRPr="009C3D32" w:rsidRDefault="00DB58F9" w:rsidP="00DB58F9">
            <w:pPr>
              <w:pStyle w:val="aff6"/>
              <w:widowControl/>
              <w:numPr>
                <w:ilvl w:val="0"/>
                <w:numId w:val="12"/>
              </w:numPr>
              <w:spacing w:after="120" w:line="259" w:lineRule="auto"/>
              <w:ind w:left="936" w:firstLineChars="0"/>
              <w:jc w:val="left"/>
              <w:rPr>
                <w:lang w:val="en-US"/>
              </w:rPr>
            </w:pPr>
            <w:r w:rsidRPr="009C3D32">
              <w:rPr>
                <w:lang w:val="en-US"/>
              </w:rPr>
              <w:t xml:space="preserve">RAN4 shall not define an SBFD-architecture dependent requirement. </w:t>
            </w:r>
          </w:p>
          <w:p w14:paraId="456C7105" w14:textId="77777777" w:rsidR="00DB58F9" w:rsidRDefault="00DB58F9" w:rsidP="00DB58F9">
            <w:pPr>
              <w:pStyle w:val="aff6"/>
              <w:widowControl/>
              <w:numPr>
                <w:ilvl w:val="0"/>
                <w:numId w:val="12"/>
              </w:numPr>
              <w:spacing w:after="120" w:line="259" w:lineRule="auto"/>
              <w:ind w:left="936" w:firstLineChars="0"/>
              <w:jc w:val="left"/>
              <w:rPr>
                <w:lang w:val="en-US"/>
              </w:rPr>
            </w:pPr>
            <w:r>
              <w:rPr>
                <w:lang w:val="en-US"/>
              </w:rPr>
              <w:t>Transient period between SBFD and non-SBFD is applicable to all four cases.</w:t>
            </w:r>
          </w:p>
          <w:p w14:paraId="6C389E30" w14:textId="77777777" w:rsidR="00DB58F9" w:rsidRDefault="00DB58F9" w:rsidP="00DB58F9">
            <w:pPr>
              <w:spacing w:after="120" w:line="259" w:lineRule="auto"/>
              <w:rPr>
                <w:lang w:val="en-US"/>
              </w:rPr>
            </w:pPr>
          </w:p>
          <w:p w14:paraId="53197B51" w14:textId="6F1FF652" w:rsidR="00DB58F9" w:rsidRDefault="00DB58F9" w:rsidP="00DB58F9">
            <w:pPr>
              <w:pStyle w:val="5"/>
              <w:ind w:left="864" w:hanging="864"/>
              <w:outlineLvl w:val="4"/>
            </w:pPr>
            <w:r>
              <w:t>Location of transient period between SBFD and non-SBFD</w:t>
            </w:r>
          </w:p>
          <w:p w14:paraId="139CB137" w14:textId="77777777" w:rsidR="00DB58F9" w:rsidRDefault="00DB58F9" w:rsidP="00DB58F9">
            <w:pPr>
              <w:spacing w:after="120" w:line="259" w:lineRule="auto"/>
              <w:rPr>
                <w:lang w:val="en-US"/>
              </w:rPr>
            </w:pPr>
            <w:r>
              <w:rPr>
                <w:lang w:val="en-US"/>
              </w:rPr>
              <w:t>Way Forward:</w:t>
            </w:r>
          </w:p>
          <w:p w14:paraId="7D4735D6" w14:textId="77777777" w:rsidR="00DB58F9" w:rsidRPr="009C3D32" w:rsidRDefault="00DB58F9" w:rsidP="00DB58F9">
            <w:pPr>
              <w:pStyle w:val="aff6"/>
              <w:widowControl/>
              <w:numPr>
                <w:ilvl w:val="0"/>
                <w:numId w:val="12"/>
              </w:numPr>
              <w:spacing w:after="120" w:line="259" w:lineRule="auto"/>
              <w:ind w:left="936" w:firstLineChars="0"/>
              <w:jc w:val="left"/>
              <w:rPr>
                <w:lang w:val="en-US"/>
              </w:rPr>
            </w:pPr>
            <w:r w:rsidRPr="009C3D32">
              <w:rPr>
                <w:rFonts w:eastAsiaTheme="minorEastAsia"/>
                <w:lang w:val="en-US" w:eastAsia="zh-CN"/>
              </w:rPr>
              <w:t xml:space="preserve">FFS whether the transmitter transient period shall be located within the SBFD symbol or not: </w:t>
            </w:r>
          </w:p>
          <w:p w14:paraId="2FE94F0D" w14:textId="77777777" w:rsidR="00DB58F9" w:rsidRPr="009C3D32" w:rsidRDefault="00DB58F9" w:rsidP="00DB58F9">
            <w:pPr>
              <w:pStyle w:val="aff6"/>
              <w:widowControl/>
              <w:numPr>
                <w:ilvl w:val="1"/>
                <w:numId w:val="12"/>
              </w:numPr>
              <w:spacing w:after="120" w:line="259" w:lineRule="auto"/>
              <w:ind w:left="1656" w:firstLineChars="0"/>
              <w:jc w:val="left"/>
              <w:rPr>
                <w:lang w:val="en-US"/>
              </w:rPr>
            </w:pPr>
            <w:r w:rsidRPr="009C3D32">
              <w:rPr>
                <w:rFonts w:eastAsiaTheme="minorEastAsia"/>
                <w:lang w:val="en-US" w:eastAsia="zh-CN"/>
              </w:rPr>
              <w:t>FFS it is an implementation issue and no RAN4 standard impact</w:t>
            </w:r>
          </w:p>
          <w:p w14:paraId="248A6663" w14:textId="77777777" w:rsidR="00DB58F9" w:rsidRDefault="00DB58F9" w:rsidP="00DB58F9">
            <w:pPr>
              <w:spacing w:after="120" w:line="259" w:lineRule="auto"/>
              <w:rPr>
                <w:lang w:val="en-US"/>
              </w:rPr>
            </w:pPr>
          </w:p>
          <w:p w14:paraId="06C509AD" w14:textId="4F118B75" w:rsidR="00DB58F9" w:rsidRDefault="00DB58F9" w:rsidP="00DB58F9">
            <w:pPr>
              <w:pStyle w:val="5"/>
              <w:ind w:left="864" w:hanging="864"/>
              <w:outlineLvl w:val="4"/>
            </w:pPr>
            <w:r>
              <w:t xml:space="preserve">Necessity of in-channel adjacent </w:t>
            </w:r>
            <w:proofErr w:type="spellStart"/>
            <w:r>
              <w:t>subband</w:t>
            </w:r>
            <w:proofErr w:type="spellEnd"/>
            <w:r>
              <w:t xml:space="preserve"> leakage ratio requirements </w:t>
            </w:r>
          </w:p>
          <w:p w14:paraId="5010F55B" w14:textId="77777777" w:rsidR="00DB58F9" w:rsidRDefault="00DB58F9" w:rsidP="00DB58F9">
            <w:pPr>
              <w:spacing w:after="120" w:line="259" w:lineRule="auto"/>
            </w:pPr>
            <w:r>
              <w:rPr>
                <w:rFonts w:hint="eastAsia"/>
                <w:highlight w:val="green"/>
              </w:rPr>
              <w:t>A</w:t>
            </w:r>
            <w:r>
              <w:rPr>
                <w:highlight w:val="green"/>
              </w:rPr>
              <w:t xml:space="preserve">greement: </w:t>
            </w:r>
          </w:p>
          <w:p w14:paraId="35A19726" w14:textId="77777777" w:rsidR="00DB58F9" w:rsidRPr="00E1077A" w:rsidRDefault="00DB58F9" w:rsidP="00DB58F9">
            <w:pPr>
              <w:pStyle w:val="aff6"/>
              <w:widowControl/>
              <w:numPr>
                <w:ilvl w:val="0"/>
                <w:numId w:val="12"/>
              </w:numPr>
              <w:spacing w:after="120" w:line="259" w:lineRule="auto"/>
              <w:ind w:left="936" w:firstLineChars="0"/>
              <w:jc w:val="left"/>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leakage ratio should be defined</w:t>
            </w:r>
          </w:p>
          <w:p w14:paraId="133066A6" w14:textId="77777777" w:rsidR="00DB58F9" w:rsidRPr="00E1077A" w:rsidRDefault="00DB58F9" w:rsidP="00DB58F9">
            <w:pPr>
              <w:pStyle w:val="aff6"/>
              <w:widowControl/>
              <w:numPr>
                <w:ilvl w:val="1"/>
                <w:numId w:val="12"/>
              </w:numPr>
              <w:spacing w:after="120" w:line="259" w:lineRule="auto"/>
              <w:ind w:left="1656" w:firstLineChars="0"/>
              <w:jc w:val="left"/>
              <w:rPr>
                <w:rFonts w:eastAsiaTheme="minorEastAsia"/>
                <w:lang w:val="en-US" w:eastAsia="zh-CN"/>
              </w:rPr>
            </w:pPr>
            <w:r w:rsidRPr="00E1077A">
              <w:rPr>
                <w:rFonts w:eastAsiaTheme="minorEastAsia"/>
                <w:lang w:val="en-US" w:eastAsia="zh-CN"/>
              </w:rPr>
              <w:t>FFS whether the requirement can be defined similar to the ACLR requirement and use existing ACLR requirement as baseline.</w:t>
            </w:r>
          </w:p>
          <w:p w14:paraId="6C4391F0" w14:textId="77777777" w:rsidR="00DB58F9" w:rsidRDefault="00DB58F9" w:rsidP="00DB58F9">
            <w:pPr>
              <w:pStyle w:val="5"/>
              <w:ind w:left="864" w:hanging="864"/>
              <w:outlineLvl w:val="4"/>
            </w:pPr>
          </w:p>
          <w:p w14:paraId="5C4F24D2" w14:textId="71412C0B" w:rsidR="00DB58F9" w:rsidRDefault="00DB58F9" w:rsidP="00DB58F9">
            <w:pPr>
              <w:pStyle w:val="5"/>
              <w:ind w:left="864" w:hanging="864"/>
              <w:outlineLvl w:val="4"/>
            </w:pPr>
            <w:r>
              <w:t xml:space="preserve">Necessity of in-channel adjacent </w:t>
            </w:r>
            <w:proofErr w:type="spellStart"/>
            <w:r>
              <w:t>subband</w:t>
            </w:r>
            <w:proofErr w:type="spellEnd"/>
            <w:r>
              <w:t xml:space="preserve"> blocking requirement</w:t>
            </w:r>
          </w:p>
          <w:p w14:paraId="63447E67" w14:textId="77777777" w:rsidR="00DB58F9" w:rsidRDefault="00DB58F9" w:rsidP="00DB58F9">
            <w:pPr>
              <w:spacing w:after="120" w:line="259" w:lineRule="auto"/>
            </w:pPr>
            <w:r w:rsidRPr="00AA276C">
              <w:rPr>
                <w:highlight w:val="green"/>
              </w:rPr>
              <w:t xml:space="preserve">Agreement: </w:t>
            </w:r>
          </w:p>
          <w:p w14:paraId="55B227C2" w14:textId="77777777" w:rsidR="00DB58F9" w:rsidRPr="00E1077A" w:rsidRDefault="00DB58F9" w:rsidP="00DB58F9">
            <w:pPr>
              <w:pStyle w:val="aff6"/>
              <w:widowControl/>
              <w:numPr>
                <w:ilvl w:val="0"/>
                <w:numId w:val="12"/>
              </w:numPr>
              <w:spacing w:after="120" w:line="259" w:lineRule="auto"/>
              <w:ind w:left="936" w:firstLineChars="0"/>
              <w:jc w:val="left"/>
              <w:rPr>
                <w:rFonts w:eastAsiaTheme="minorEastAsia"/>
                <w:lang w:val="en-US" w:eastAsia="zh-CN"/>
              </w:rPr>
            </w:pPr>
            <w:r w:rsidRPr="00E1077A">
              <w:rPr>
                <w:rFonts w:eastAsiaTheme="minorEastAsia"/>
                <w:lang w:val="en-US" w:eastAsia="zh-CN"/>
              </w:rPr>
              <w:t xml:space="preserve">New requirement for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should be defined</w:t>
            </w:r>
          </w:p>
          <w:p w14:paraId="2EAC1E5C" w14:textId="77777777" w:rsidR="00DB58F9" w:rsidRPr="00E1077A" w:rsidRDefault="00DB58F9" w:rsidP="00DB58F9">
            <w:pPr>
              <w:pStyle w:val="aff6"/>
              <w:widowControl/>
              <w:numPr>
                <w:ilvl w:val="1"/>
                <w:numId w:val="12"/>
              </w:numPr>
              <w:spacing w:after="120" w:line="259" w:lineRule="auto"/>
              <w:ind w:left="1656" w:firstLineChars="0"/>
              <w:jc w:val="left"/>
              <w:rPr>
                <w:rFonts w:eastAsiaTheme="minorEastAsia"/>
                <w:lang w:val="en-US" w:eastAsia="zh-CN"/>
              </w:rPr>
            </w:pPr>
            <w:r w:rsidRPr="00E1077A">
              <w:rPr>
                <w:rFonts w:eastAsiaTheme="minorEastAsia"/>
                <w:lang w:val="en-US" w:eastAsia="zh-CN"/>
              </w:rPr>
              <w:t xml:space="preserve">FFS the impact of in-channel interference source(s), with and without gNB-to-gNB CLI handling schemes, based on reasonable expected gNB-to-gNB isolation. </w:t>
            </w:r>
          </w:p>
          <w:p w14:paraId="1C1583F2" w14:textId="77777777" w:rsidR="00DB58F9" w:rsidRPr="00E1077A" w:rsidRDefault="00DB58F9" w:rsidP="00DB58F9">
            <w:pPr>
              <w:pStyle w:val="aff6"/>
              <w:widowControl/>
              <w:numPr>
                <w:ilvl w:val="1"/>
                <w:numId w:val="12"/>
              </w:numPr>
              <w:spacing w:after="120" w:line="259" w:lineRule="auto"/>
              <w:ind w:left="1656" w:firstLineChars="0"/>
              <w:jc w:val="left"/>
              <w:rPr>
                <w:rFonts w:eastAsiaTheme="minorEastAsia"/>
                <w:lang w:val="en-US" w:eastAsia="zh-CN"/>
              </w:rPr>
            </w:pPr>
            <w:r w:rsidRPr="00E1077A">
              <w:rPr>
                <w:rFonts w:eastAsiaTheme="minorEastAsia" w:hint="eastAsia"/>
                <w:lang w:val="en-US" w:eastAsia="zh-CN"/>
              </w:rPr>
              <w:t>F</w:t>
            </w:r>
            <w:r w:rsidRPr="00E1077A">
              <w:rPr>
                <w:rFonts w:eastAsiaTheme="minorEastAsia"/>
                <w:lang w:val="en-US" w:eastAsia="zh-CN"/>
              </w:rPr>
              <w:t xml:space="preserve">FS in-channel selectivity (ICS) requirement can cover in-channel adjacent </w:t>
            </w:r>
            <w:proofErr w:type="spellStart"/>
            <w:r w:rsidRPr="00E1077A">
              <w:rPr>
                <w:rFonts w:eastAsiaTheme="minorEastAsia"/>
                <w:lang w:val="en-US" w:eastAsia="zh-CN"/>
              </w:rPr>
              <w:t>subband</w:t>
            </w:r>
            <w:proofErr w:type="spellEnd"/>
            <w:r w:rsidRPr="00E1077A">
              <w:rPr>
                <w:rFonts w:eastAsiaTheme="minorEastAsia"/>
                <w:lang w:val="en-US" w:eastAsia="zh-CN"/>
              </w:rPr>
              <w:t xml:space="preserve"> blocking requirement.  </w:t>
            </w:r>
          </w:p>
          <w:p w14:paraId="00738A33" w14:textId="77777777" w:rsidR="00DB58F9" w:rsidRPr="00E1077A" w:rsidRDefault="00DB58F9" w:rsidP="00DB58F9">
            <w:pPr>
              <w:pStyle w:val="aff6"/>
              <w:widowControl/>
              <w:numPr>
                <w:ilvl w:val="1"/>
                <w:numId w:val="12"/>
              </w:numPr>
              <w:spacing w:after="120" w:line="259" w:lineRule="auto"/>
              <w:ind w:left="1656" w:firstLineChars="0"/>
              <w:jc w:val="left"/>
              <w:rPr>
                <w:rFonts w:eastAsiaTheme="minorEastAsia"/>
                <w:lang w:val="en-US" w:eastAsia="zh-CN"/>
              </w:rPr>
            </w:pPr>
            <w:r w:rsidRPr="00E1077A">
              <w:rPr>
                <w:rFonts w:eastAsiaTheme="minorEastAsia" w:hint="eastAsia"/>
                <w:lang w:val="en-US" w:eastAsia="zh-CN"/>
              </w:rPr>
              <w:t>T</w:t>
            </w:r>
            <w:r w:rsidRPr="00E1077A">
              <w:rPr>
                <w:rFonts w:eastAsiaTheme="minorEastAsia"/>
                <w:lang w:val="en-US" w:eastAsia="zh-CN"/>
              </w:rPr>
              <w:t xml:space="preserve">he requirement level shall be driven by feasibility consideration. </w:t>
            </w:r>
          </w:p>
          <w:p w14:paraId="4C41F78D" w14:textId="77777777" w:rsidR="008E5DA8" w:rsidRDefault="008E5DA8" w:rsidP="00DB58F9">
            <w:pPr>
              <w:pStyle w:val="5"/>
              <w:ind w:left="864" w:hanging="864"/>
              <w:outlineLvl w:val="4"/>
            </w:pPr>
          </w:p>
          <w:p w14:paraId="11E40384" w14:textId="44EDC8E7" w:rsidR="00DB58F9" w:rsidRDefault="00DB58F9" w:rsidP="00DB58F9">
            <w:pPr>
              <w:pStyle w:val="5"/>
              <w:ind w:left="864" w:hanging="864"/>
              <w:outlineLvl w:val="4"/>
            </w:pPr>
            <w:r>
              <w:t xml:space="preserve">Necessity of in-channel adjacent </w:t>
            </w:r>
            <w:proofErr w:type="spellStart"/>
            <w:r>
              <w:t>subband</w:t>
            </w:r>
            <w:proofErr w:type="spellEnd"/>
            <w:r>
              <w:t xml:space="preserve"> selectivity requirements </w:t>
            </w:r>
          </w:p>
          <w:p w14:paraId="7367A3CF" w14:textId="77777777" w:rsidR="00DB58F9" w:rsidRDefault="00DB58F9" w:rsidP="00DB58F9">
            <w:pPr>
              <w:spacing w:after="120" w:line="259" w:lineRule="auto"/>
            </w:pPr>
            <w:r w:rsidRPr="00AA276C">
              <w:rPr>
                <w:rFonts w:hint="eastAsia"/>
                <w:highlight w:val="green"/>
              </w:rPr>
              <w:t>A</w:t>
            </w:r>
            <w:r w:rsidRPr="00AA276C">
              <w:rPr>
                <w:highlight w:val="green"/>
              </w:rPr>
              <w:t xml:space="preserve">greement: </w:t>
            </w:r>
          </w:p>
          <w:p w14:paraId="6A0439A0" w14:textId="77777777" w:rsidR="00DB58F9" w:rsidRPr="00AA276C" w:rsidRDefault="00DB58F9" w:rsidP="00DB58F9">
            <w:pPr>
              <w:pStyle w:val="aff6"/>
              <w:widowControl/>
              <w:numPr>
                <w:ilvl w:val="0"/>
                <w:numId w:val="12"/>
              </w:numPr>
              <w:spacing w:after="120" w:line="259" w:lineRule="auto"/>
              <w:ind w:left="936" w:firstLineChars="0"/>
              <w:jc w:val="left"/>
              <w:rPr>
                <w:rFonts w:eastAsiaTheme="minorEastAsia"/>
                <w:lang w:val="en-US" w:eastAsia="zh-CN"/>
              </w:rPr>
            </w:pPr>
            <w:r w:rsidRPr="00AA276C">
              <w:rPr>
                <w:rFonts w:eastAsiaTheme="minorEastAsia"/>
                <w:lang w:val="en-US" w:eastAsia="zh-CN"/>
              </w:rPr>
              <w:t xml:space="preserve">No necessity to introduce the new requirement for in-channel adjacent </w:t>
            </w:r>
            <w:proofErr w:type="spellStart"/>
            <w:r w:rsidRPr="00AA276C">
              <w:rPr>
                <w:rFonts w:eastAsiaTheme="minorEastAsia"/>
                <w:lang w:val="en-US" w:eastAsia="zh-CN"/>
              </w:rPr>
              <w:t>subband</w:t>
            </w:r>
            <w:proofErr w:type="spellEnd"/>
            <w:r w:rsidRPr="00AA276C">
              <w:rPr>
                <w:rFonts w:eastAsiaTheme="minorEastAsia"/>
                <w:lang w:val="en-US" w:eastAsia="zh-CN"/>
              </w:rPr>
              <w:t xml:space="preserve"> selectivity.</w:t>
            </w:r>
          </w:p>
          <w:p w14:paraId="3F23B206" w14:textId="77777777" w:rsidR="00DB58F9" w:rsidRDefault="00DB58F9" w:rsidP="00DB58F9">
            <w:pPr>
              <w:spacing w:after="120" w:line="259" w:lineRule="auto"/>
              <w:rPr>
                <w:lang w:val="en-US"/>
              </w:rPr>
            </w:pPr>
          </w:p>
          <w:p w14:paraId="36DD1DE4" w14:textId="0F6F892A" w:rsidR="00DB58F9" w:rsidRDefault="00DB58F9" w:rsidP="00DB58F9">
            <w:pPr>
              <w:pStyle w:val="5"/>
              <w:ind w:left="864" w:hanging="864"/>
              <w:outlineLvl w:val="4"/>
            </w:pPr>
            <w:r>
              <w:t>Necessity of new requirement for inter-sector and inter-site interference</w:t>
            </w:r>
          </w:p>
          <w:p w14:paraId="5BD08F8A" w14:textId="77777777" w:rsidR="00DB58F9" w:rsidRDefault="00DB58F9" w:rsidP="00DB58F9">
            <w:pPr>
              <w:spacing w:after="120" w:line="259" w:lineRule="auto"/>
            </w:pPr>
            <w:r w:rsidRPr="00AA276C">
              <w:rPr>
                <w:rFonts w:hint="eastAsia"/>
                <w:highlight w:val="green"/>
              </w:rPr>
              <w:t>A</w:t>
            </w:r>
            <w:r w:rsidRPr="00AA276C">
              <w:rPr>
                <w:highlight w:val="green"/>
              </w:rPr>
              <w:t>greement:</w:t>
            </w:r>
            <w:r>
              <w:t xml:space="preserve"> </w:t>
            </w:r>
          </w:p>
          <w:p w14:paraId="7E044887" w14:textId="505A51F6" w:rsidR="0067071C" w:rsidRPr="00DB58F9" w:rsidRDefault="00DB58F9" w:rsidP="00DB58F9">
            <w:pPr>
              <w:pStyle w:val="aff6"/>
              <w:widowControl/>
              <w:numPr>
                <w:ilvl w:val="0"/>
                <w:numId w:val="12"/>
              </w:numPr>
              <w:spacing w:after="120" w:line="259" w:lineRule="auto"/>
              <w:ind w:left="936" w:firstLineChars="0"/>
              <w:jc w:val="left"/>
              <w:rPr>
                <w:rFonts w:eastAsiaTheme="minorEastAsia"/>
                <w:lang w:val="en-US" w:eastAsia="zh-CN"/>
              </w:rPr>
            </w:pPr>
            <w:r w:rsidRPr="00F64E9A">
              <w:rPr>
                <w:rFonts w:eastAsiaTheme="minorEastAsia"/>
                <w:lang w:val="en-US" w:eastAsia="zh-CN"/>
              </w:rPr>
              <w:t>No necessity to introduce the new requirement for inter-sector interference.</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AE1C73C" w14:textId="46EB4EFA" w:rsidR="005114B4" w:rsidRDefault="005114B4" w:rsidP="005114B4">
      <w:pPr>
        <w:pStyle w:val="2"/>
        <w:spacing w:after="240"/>
      </w:pPr>
      <w:r>
        <w:t xml:space="preserve">The </w:t>
      </w:r>
      <w:r w:rsidR="00FB06BE">
        <w:t>requirement for transient period for SBFD</w:t>
      </w:r>
    </w:p>
    <w:p w14:paraId="4A7989AA" w14:textId="491B96E9" w:rsidR="00F75D1C" w:rsidRDefault="005A341D" w:rsidP="00903F53">
      <w:pPr>
        <w:jc w:val="both"/>
      </w:pPr>
      <w:r>
        <w:t xml:space="preserve">In previous meeting, </w:t>
      </w:r>
      <w:r w:rsidR="002B6E15">
        <w:t xml:space="preserve">a </w:t>
      </w:r>
      <w:r>
        <w:t>conclusion on this issue was achieved</w:t>
      </w:r>
      <w:r w:rsidR="00EC1F5F">
        <w:t>. While there will be t</w:t>
      </w:r>
      <w:r w:rsidR="00EC1F5F" w:rsidRPr="00EC1F5F">
        <w:t>ransient period between SBFD and non-SBFD</w:t>
      </w:r>
      <w:r w:rsidR="00EC1F5F">
        <w:t xml:space="preserve"> slot, </w:t>
      </w:r>
      <w:r w:rsidR="00336F3D">
        <w:t>t</w:t>
      </w:r>
      <w:r w:rsidR="00B46FD3">
        <w:rPr>
          <w:lang w:val="en-AU"/>
        </w:rPr>
        <w:t xml:space="preserve">he remaining issue is to determine where the transient period will be. Our preference is to select SBFD slot to accommodate the transient period for the necessary </w:t>
      </w:r>
      <w:r w:rsidR="00B46FD3">
        <w:rPr>
          <w:szCs w:val="24"/>
          <w:lang w:val="en-US"/>
        </w:rPr>
        <w:t xml:space="preserve">RF resource rearrangement, so the TDD slot can be intact.   </w:t>
      </w:r>
      <w:r w:rsidR="00B46FD3">
        <w:rPr>
          <w:lang w:val="en-AU"/>
        </w:rPr>
        <w:t xml:space="preserve"> </w:t>
      </w:r>
    </w:p>
    <w:p w14:paraId="3A566707" w14:textId="3C79F1EE" w:rsidR="00903F53" w:rsidRPr="00B46FD3" w:rsidRDefault="00903F53" w:rsidP="00B46FD3">
      <w:pPr>
        <w:jc w:val="both"/>
        <w:rPr>
          <w:b/>
          <w:i/>
        </w:rPr>
      </w:pPr>
      <w:r>
        <w:rPr>
          <w:b/>
          <w:i/>
        </w:rPr>
        <w:t xml:space="preserve">Proposal 1: </w:t>
      </w:r>
      <w:r w:rsidR="00AE53CE">
        <w:rPr>
          <w:b/>
          <w:i/>
        </w:rPr>
        <w:t xml:space="preserve">For the </w:t>
      </w:r>
      <w:r w:rsidR="00AE53CE" w:rsidRPr="00B46FD3">
        <w:rPr>
          <w:b/>
          <w:i/>
        </w:rPr>
        <w:t>transient period between SBFD and non-SBFD</w:t>
      </w:r>
      <w:r w:rsidR="00AE53CE">
        <w:rPr>
          <w:b/>
          <w:i/>
        </w:rPr>
        <w:t xml:space="preserve"> slot, suggest that it should be located </w:t>
      </w:r>
      <w:r w:rsidR="00B46FD3" w:rsidRPr="00B46FD3">
        <w:rPr>
          <w:b/>
          <w:i/>
        </w:rPr>
        <w:t xml:space="preserve">within the SBFD slot/symbol. </w:t>
      </w:r>
    </w:p>
    <w:p w14:paraId="1AAEBA5C" w14:textId="77777777" w:rsidR="000A2099" w:rsidRDefault="000A2099" w:rsidP="009B7DF8">
      <w:pPr>
        <w:jc w:val="both"/>
      </w:pPr>
    </w:p>
    <w:p w14:paraId="16BC3674" w14:textId="18A793B7" w:rsidR="000B2DA5" w:rsidRDefault="000B2DA5" w:rsidP="000B2DA5">
      <w:pPr>
        <w:pStyle w:val="2"/>
        <w:spacing w:after="240"/>
      </w:pPr>
      <w:r>
        <w:t xml:space="preserve">In-channel adjacent </w:t>
      </w:r>
      <w:proofErr w:type="spellStart"/>
      <w:r>
        <w:t>subband</w:t>
      </w:r>
      <w:proofErr w:type="spellEnd"/>
      <w:r>
        <w:t xml:space="preserve"> requirement for SBFD</w:t>
      </w:r>
    </w:p>
    <w:p w14:paraId="07B5EA1C" w14:textId="75C0B6E9" w:rsidR="00E50349" w:rsidRDefault="00E50349" w:rsidP="009B7DF8">
      <w:pPr>
        <w:jc w:val="both"/>
      </w:pPr>
      <w:r>
        <w:t xml:space="preserve">For in-channel adjacent </w:t>
      </w:r>
      <w:proofErr w:type="spellStart"/>
      <w:r>
        <w:t>subband</w:t>
      </w:r>
      <w:proofErr w:type="spellEnd"/>
      <w:r>
        <w:t xml:space="preserve"> leakage ratio it was agreed that new requirement for it should be defined.</w:t>
      </w:r>
      <w:r w:rsidR="00907B4B">
        <w:t xml:space="preserve"> During Rel-18 SI phase, </w:t>
      </w:r>
      <w:r w:rsidR="000C5B8E">
        <w:t>no specific conclusion has been achieved but the value of legacy ACLR requirement was used as simulation assumption</w:t>
      </w:r>
      <w:r w:rsidR="002B6AE5">
        <w:t xml:space="preserve">. So from our understanding, one can start with </w:t>
      </w:r>
      <w:r w:rsidR="009A4C36">
        <w:t>figuring out whether the value of existing ACLR requirement can be used as baseline. One thing that might need further consideration is whether we need to distinguish between</w:t>
      </w:r>
      <w:r w:rsidR="003F4D88">
        <w:t xml:space="preserve"> this requirement</w:t>
      </w:r>
      <w:r w:rsidR="009A4C36" w:rsidRPr="009A4C36">
        <w:t xml:space="preserve"> </w:t>
      </w:r>
      <w:r w:rsidR="009A4C36">
        <w:t xml:space="preserve">of DU and DUD case.  </w:t>
      </w:r>
      <w:r w:rsidR="000C5B8E">
        <w:t xml:space="preserve">  </w:t>
      </w:r>
    </w:p>
    <w:p w14:paraId="279BE3D7" w14:textId="23726745" w:rsidR="003C3445" w:rsidRDefault="003C3445" w:rsidP="009B7DF8">
      <w:pPr>
        <w:jc w:val="both"/>
        <w:rPr>
          <w:b/>
          <w:i/>
        </w:rPr>
      </w:pPr>
      <w:r>
        <w:rPr>
          <w:b/>
          <w:i/>
        </w:rPr>
        <w:t>Proposal</w:t>
      </w:r>
      <w:r w:rsidR="004C5EED">
        <w:rPr>
          <w:b/>
          <w:i/>
        </w:rPr>
        <w:t xml:space="preserve"> </w:t>
      </w:r>
      <w:r w:rsidR="002C082F">
        <w:rPr>
          <w:b/>
          <w:i/>
        </w:rPr>
        <w:t>2</w:t>
      </w:r>
      <w:r w:rsidR="00E71A93">
        <w:rPr>
          <w:b/>
          <w:i/>
        </w:rPr>
        <w:t xml:space="preserve">: </w:t>
      </w:r>
      <w:r>
        <w:rPr>
          <w:b/>
          <w:i/>
        </w:rPr>
        <w:t>Suggest to use the value of existing ACLR requirement as starting point f</w:t>
      </w:r>
      <w:r w:rsidR="00E71A93">
        <w:rPr>
          <w:b/>
          <w:i/>
        </w:rPr>
        <w:t xml:space="preserve">or </w:t>
      </w:r>
      <w:r w:rsidR="00E71A93" w:rsidRPr="00E71A93">
        <w:rPr>
          <w:b/>
          <w:i/>
        </w:rPr>
        <w:t xml:space="preserve">in-channel adjacent </w:t>
      </w:r>
      <w:proofErr w:type="spellStart"/>
      <w:r w:rsidR="00E71A93" w:rsidRPr="00E71A93">
        <w:rPr>
          <w:b/>
          <w:i/>
        </w:rPr>
        <w:t>subband</w:t>
      </w:r>
      <w:proofErr w:type="spellEnd"/>
      <w:r w:rsidR="00E71A93" w:rsidRPr="00E71A93">
        <w:rPr>
          <w:b/>
          <w:i/>
        </w:rPr>
        <w:t xml:space="preserve"> leakage ratio</w:t>
      </w:r>
      <w:r w:rsidR="009A4C36">
        <w:rPr>
          <w:b/>
          <w:i/>
        </w:rPr>
        <w:t xml:space="preserve">. </w:t>
      </w:r>
    </w:p>
    <w:p w14:paraId="0789BA38" w14:textId="318D0CAF" w:rsidR="009A4C36" w:rsidRPr="003C3445" w:rsidRDefault="009A4C36" w:rsidP="003C3445">
      <w:pPr>
        <w:pStyle w:val="aff6"/>
        <w:numPr>
          <w:ilvl w:val="0"/>
          <w:numId w:val="21"/>
        </w:numPr>
        <w:ind w:firstLineChars="0"/>
        <w:rPr>
          <w:rFonts w:ascii="Times New Roman" w:hAnsi="Times New Roman"/>
          <w:b/>
          <w:i/>
          <w:kern w:val="0"/>
          <w:sz w:val="20"/>
          <w:szCs w:val="20"/>
          <w:lang w:val="en-GB" w:eastAsia="zh-CN"/>
        </w:rPr>
      </w:pPr>
      <w:r w:rsidRPr="003C3445">
        <w:rPr>
          <w:rFonts w:ascii="Times New Roman" w:hAnsi="Times New Roman"/>
          <w:b/>
          <w:i/>
          <w:kern w:val="0"/>
          <w:sz w:val="20"/>
          <w:szCs w:val="20"/>
          <w:lang w:val="en-GB" w:eastAsia="zh-CN"/>
        </w:rPr>
        <w:t xml:space="preserve">Whether </w:t>
      </w:r>
      <w:r w:rsidR="003F4D88" w:rsidRPr="003C3445">
        <w:rPr>
          <w:rFonts w:ascii="Times New Roman" w:hAnsi="Times New Roman"/>
          <w:b/>
          <w:i/>
          <w:kern w:val="0"/>
          <w:sz w:val="20"/>
          <w:szCs w:val="20"/>
          <w:lang w:val="en-GB" w:eastAsia="zh-CN"/>
        </w:rPr>
        <w:t xml:space="preserve">to </w:t>
      </w:r>
      <w:r w:rsidR="00B91DA0" w:rsidRPr="003C3445">
        <w:rPr>
          <w:rFonts w:ascii="Times New Roman" w:hAnsi="Times New Roman"/>
          <w:b/>
          <w:i/>
          <w:kern w:val="0"/>
          <w:sz w:val="20"/>
          <w:szCs w:val="20"/>
          <w:lang w:val="en-GB" w:eastAsia="zh-CN"/>
        </w:rPr>
        <w:t xml:space="preserve">use </w:t>
      </w:r>
      <w:r w:rsidR="003F4D88" w:rsidRPr="003C3445">
        <w:rPr>
          <w:rFonts w:ascii="Times New Roman" w:hAnsi="Times New Roman"/>
          <w:b/>
          <w:i/>
          <w:kern w:val="0"/>
          <w:sz w:val="20"/>
          <w:szCs w:val="20"/>
          <w:lang w:val="en-GB" w:eastAsia="zh-CN"/>
        </w:rPr>
        <w:t xml:space="preserve">the power sum of two DL </w:t>
      </w:r>
      <w:proofErr w:type="spellStart"/>
      <w:r w:rsidR="003F4D88" w:rsidRPr="003C3445">
        <w:rPr>
          <w:rFonts w:ascii="Times New Roman" w:hAnsi="Times New Roman"/>
          <w:b/>
          <w:i/>
          <w:kern w:val="0"/>
          <w:sz w:val="20"/>
          <w:szCs w:val="20"/>
          <w:lang w:val="en-GB" w:eastAsia="zh-CN"/>
        </w:rPr>
        <w:t>subbands</w:t>
      </w:r>
      <w:proofErr w:type="spellEnd"/>
      <w:r w:rsidR="003F4D88" w:rsidRPr="003C3445">
        <w:rPr>
          <w:rFonts w:ascii="Times New Roman" w:hAnsi="Times New Roman"/>
          <w:b/>
          <w:i/>
          <w:kern w:val="0"/>
          <w:sz w:val="20"/>
          <w:szCs w:val="20"/>
          <w:lang w:val="en-GB" w:eastAsia="zh-CN"/>
        </w:rPr>
        <w:t xml:space="preserve"> for DUD case</w:t>
      </w:r>
      <w:r w:rsidR="00B91DA0" w:rsidRPr="003C3445">
        <w:rPr>
          <w:rFonts w:ascii="Times New Roman" w:hAnsi="Times New Roman"/>
          <w:b/>
          <w:i/>
          <w:kern w:val="0"/>
          <w:sz w:val="20"/>
          <w:szCs w:val="20"/>
          <w:lang w:val="en-GB" w:eastAsia="zh-CN"/>
        </w:rPr>
        <w:t xml:space="preserve"> </w:t>
      </w:r>
      <w:r w:rsidR="003C3445" w:rsidRPr="003C3445">
        <w:rPr>
          <w:rFonts w:ascii="Times New Roman" w:hAnsi="Times New Roman"/>
          <w:b/>
          <w:i/>
          <w:kern w:val="0"/>
          <w:sz w:val="20"/>
          <w:szCs w:val="20"/>
          <w:lang w:val="en-GB" w:eastAsia="zh-CN"/>
        </w:rPr>
        <w:t>should</w:t>
      </w:r>
      <w:r w:rsidR="003F4D88" w:rsidRPr="003C3445">
        <w:rPr>
          <w:rFonts w:ascii="Times New Roman" w:hAnsi="Times New Roman"/>
          <w:b/>
          <w:i/>
          <w:kern w:val="0"/>
          <w:sz w:val="20"/>
          <w:szCs w:val="20"/>
          <w:lang w:val="en-GB" w:eastAsia="zh-CN"/>
        </w:rPr>
        <w:t xml:space="preserve"> be further </w:t>
      </w:r>
      <w:r w:rsidR="003C3445" w:rsidRPr="003C3445">
        <w:rPr>
          <w:rFonts w:ascii="Times New Roman" w:hAnsi="Times New Roman"/>
          <w:b/>
          <w:i/>
          <w:kern w:val="0"/>
          <w:sz w:val="20"/>
          <w:szCs w:val="20"/>
          <w:lang w:val="en-GB" w:eastAsia="zh-CN"/>
        </w:rPr>
        <w:t>discussed</w:t>
      </w:r>
      <w:r w:rsidR="003F4D88" w:rsidRPr="003C3445">
        <w:rPr>
          <w:rFonts w:ascii="Times New Roman" w:hAnsi="Times New Roman"/>
          <w:b/>
          <w:i/>
          <w:kern w:val="0"/>
          <w:sz w:val="20"/>
          <w:szCs w:val="20"/>
          <w:lang w:val="en-GB" w:eastAsia="zh-CN"/>
        </w:rPr>
        <w:t>.</w:t>
      </w:r>
    </w:p>
    <w:p w14:paraId="2978361C" w14:textId="14667336" w:rsidR="003E3640" w:rsidRDefault="008E0191" w:rsidP="009B7DF8">
      <w:pPr>
        <w:jc w:val="both"/>
        <w:rPr>
          <w:lang w:val="en-US"/>
        </w:rPr>
      </w:pPr>
      <w:r>
        <w:t xml:space="preserve">Regarding </w:t>
      </w:r>
      <w:r w:rsidR="00A8689E" w:rsidRPr="00A8689E">
        <w:t xml:space="preserve">in-channel adjacent </w:t>
      </w:r>
      <w:proofErr w:type="spellStart"/>
      <w:r w:rsidR="00A8689E" w:rsidRPr="00A8689E">
        <w:t>subband</w:t>
      </w:r>
      <w:proofErr w:type="spellEnd"/>
      <w:r w:rsidR="00A8689E" w:rsidRPr="00A8689E">
        <w:t xml:space="preserve"> blocking</w:t>
      </w:r>
      <w:r w:rsidR="00A8689E">
        <w:t xml:space="preserve">, it has been agreed that </w:t>
      </w:r>
      <w:r w:rsidR="00134D71">
        <w:t>new requirement is needed</w:t>
      </w:r>
      <w:r w:rsidR="00A8689E">
        <w:t>.</w:t>
      </w:r>
      <w:r w:rsidR="00134D71">
        <w:t xml:space="preserve"> </w:t>
      </w:r>
      <w:r w:rsidR="00133EF3">
        <w:t xml:space="preserve">But the </w:t>
      </w:r>
      <w:r w:rsidR="00133EF3" w:rsidRPr="00133EF3">
        <w:rPr>
          <w:lang w:val="en-US"/>
        </w:rPr>
        <w:t>impact of in-channel interference source(s), with and without gNB-to-gNB CLI handling schemes</w:t>
      </w:r>
      <w:r w:rsidR="00133EF3">
        <w:rPr>
          <w:lang w:val="en-US"/>
        </w:rPr>
        <w:t xml:space="preserve"> should also be considered. </w:t>
      </w:r>
      <w:r w:rsidR="0022715D">
        <w:rPr>
          <w:lang w:val="en-US"/>
        </w:rPr>
        <w:t xml:space="preserve">To our understanding, such </w:t>
      </w:r>
      <w:r w:rsidR="0022715D">
        <w:rPr>
          <w:rFonts w:hint="eastAsia"/>
          <w:lang w:val="en-US"/>
        </w:rPr>
        <w:t>DL sub-band interference might cause some nonlinearity to LNA</w:t>
      </w:r>
      <w:r w:rsidR="0022715D">
        <w:rPr>
          <w:lang w:val="en-US"/>
        </w:rPr>
        <w:t xml:space="preserve"> or other RF components</w:t>
      </w:r>
      <w:r w:rsidR="003E3640">
        <w:rPr>
          <w:lang w:val="en-US"/>
        </w:rPr>
        <w:t xml:space="preserve"> but that interference is anyway coming from the same operator so some methods e.g. beam nulling/coordination can be applied</w:t>
      </w:r>
      <w:r w:rsidR="007B6747">
        <w:rPr>
          <w:lang w:val="en-US"/>
        </w:rPr>
        <w:t xml:space="preserve"> in order to mitigate the interference.</w:t>
      </w:r>
      <w:r w:rsidR="003E3640">
        <w:rPr>
          <w:lang w:val="en-US"/>
        </w:rPr>
        <w:t xml:space="preserve"> </w:t>
      </w:r>
    </w:p>
    <w:p w14:paraId="1C3F94FB" w14:textId="672972F6" w:rsidR="00237339" w:rsidRDefault="00237339" w:rsidP="009B7DF8">
      <w:pPr>
        <w:jc w:val="both"/>
        <w:rPr>
          <w:lang w:val="en-US"/>
        </w:rPr>
      </w:pPr>
      <w:r>
        <w:rPr>
          <w:b/>
          <w:i/>
        </w:rPr>
        <w:t>Observation</w:t>
      </w:r>
      <w:r w:rsidR="009C285E">
        <w:rPr>
          <w:b/>
          <w:i/>
        </w:rPr>
        <w:t xml:space="preserve"> 1</w:t>
      </w:r>
      <w:r>
        <w:rPr>
          <w:b/>
          <w:i/>
        </w:rPr>
        <w:t xml:space="preserve">: Unlike in-band blocking, the interference source of in-channel adjacent </w:t>
      </w:r>
      <w:proofErr w:type="spellStart"/>
      <w:r>
        <w:rPr>
          <w:b/>
          <w:i/>
        </w:rPr>
        <w:t>subband</w:t>
      </w:r>
      <w:proofErr w:type="spellEnd"/>
      <w:r>
        <w:rPr>
          <w:b/>
          <w:i/>
        </w:rPr>
        <w:t xml:space="preserve"> blocking can be mitigated by CLI handling techniques.</w:t>
      </w:r>
    </w:p>
    <w:p w14:paraId="2426783C" w14:textId="6CA74160" w:rsidR="00133EF3" w:rsidRDefault="00237339" w:rsidP="009B7DF8">
      <w:pPr>
        <w:jc w:val="both"/>
        <w:rPr>
          <w:lang w:val="en-US"/>
        </w:rPr>
      </w:pPr>
      <w:r>
        <w:rPr>
          <w:lang w:val="en-US"/>
        </w:rPr>
        <w:t xml:space="preserve">Following simulation based on our co-ex simulation platform is conducted to provide some inputs for further discussion, note that </w:t>
      </w:r>
      <w:r w:rsidR="00133EF3">
        <w:rPr>
          <w:lang w:val="en-US"/>
        </w:rPr>
        <w:t>CLI handling is NOT included.</w:t>
      </w:r>
    </w:p>
    <w:p w14:paraId="7D0C39F2" w14:textId="08F20B07" w:rsidR="003C75EB" w:rsidRDefault="003C75EB" w:rsidP="003C75EB">
      <w:pPr>
        <w:jc w:val="center"/>
        <w:rPr>
          <w:lang w:val="en-US"/>
        </w:rPr>
      </w:pPr>
      <w:r>
        <w:rPr>
          <w:noProof/>
          <w:lang w:val="en-US"/>
        </w:rPr>
        <w:lastRenderedPageBreak/>
        <w:drawing>
          <wp:inline distT="0" distB="0" distL="0" distR="0" wp14:anchorId="489DB248" wp14:editId="6B9C2BFE">
            <wp:extent cx="2166758" cy="1882157"/>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75906" cy="1890103"/>
                    </a:xfrm>
                    <a:prstGeom prst="rect">
                      <a:avLst/>
                    </a:prstGeom>
                  </pic:spPr>
                </pic:pic>
              </a:graphicData>
            </a:graphic>
          </wp:inline>
        </w:drawing>
      </w:r>
    </w:p>
    <w:p w14:paraId="07EA3374" w14:textId="73E5BF7E" w:rsidR="000B2DA5" w:rsidRPr="003C75EB" w:rsidRDefault="003C75EB" w:rsidP="003C75EB">
      <w:pPr>
        <w:jc w:val="center"/>
        <w:rPr>
          <w:b/>
        </w:rPr>
      </w:pPr>
      <w:r w:rsidRPr="003C75EB">
        <w:rPr>
          <w:b/>
          <w:lang w:val="en-US"/>
        </w:rPr>
        <w:t xml:space="preserve">Figure 1. CDF of in-channel adjacent </w:t>
      </w:r>
      <w:proofErr w:type="spellStart"/>
      <w:r w:rsidRPr="003C75EB">
        <w:rPr>
          <w:b/>
          <w:lang w:val="en-US"/>
        </w:rPr>
        <w:t>subband</w:t>
      </w:r>
      <w:proofErr w:type="spellEnd"/>
      <w:r w:rsidRPr="003C75EB">
        <w:rPr>
          <w:b/>
          <w:lang w:val="en-US"/>
        </w:rPr>
        <w:t xml:space="preserve"> blocking w/o CLI handling</w:t>
      </w:r>
    </w:p>
    <w:p w14:paraId="3EC49606" w14:textId="3EAF7C4D" w:rsidR="000B2DA5" w:rsidRDefault="00237339" w:rsidP="009B7DF8">
      <w:pPr>
        <w:jc w:val="both"/>
      </w:pPr>
      <w:r>
        <w:t>According to the result, i</w:t>
      </w:r>
      <w:r w:rsidR="003C75EB">
        <w:t xml:space="preserve">t is -28.03 </w:t>
      </w:r>
      <w:proofErr w:type="spellStart"/>
      <w:r w:rsidR="003C75EB">
        <w:t>dBm</w:t>
      </w:r>
      <w:proofErr w:type="spellEnd"/>
      <w:r w:rsidR="003C75EB">
        <w:t xml:space="preserve"> @99%-tile</w:t>
      </w:r>
      <w:r w:rsidR="009B76B1">
        <w:t>.</w:t>
      </w:r>
      <w:r w:rsidR="009C285E">
        <w:t xml:space="preserve"> Further discussion on how to combine the CLI handling with this interference level should be further discussed.</w:t>
      </w:r>
    </w:p>
    <w:p w14:paraId="6D4072CE" w14:textId="24DB022A" w:rsidR="009C285E" w:rsidRDefault="009C285E" w:rsidP="009B7DF8">
      <w:pPr>
        <w:jc w:val="both"/>
      </w:pPr>
      <w:r>
        <w:rPr>
          <w:b/>
          <w:i/>
        </w:rPr>
        <w:t>Observation</w:t>
      </w:r>
      <w:r>
        <w:rPr>
          <w:b/>
          <w:i/>
        </w:rPr>
        <w:t xml:space="preserve"> 2</w:t>
      </w:r>
      <w:r>
        <w:rPr>
          <w:b/>
          <w:i/>
        </w:rPr>
        <w:t xml:space="preserve">: </w:t>
      </w:r>
      <w:r>
        <w:rPr>
          <w:b/>
          <w:i/>
        </w:rPr>
        <w:t xml:space="preserve">How to accommodate the CLI handling capability with the in-channel adjacent </w:t>
      </w:r>
      <w:proofErr w:type="spellStart"/>
      <w:r>
        <w:rPr>
          <w:b/>
          <w:i/>
        </w:rPr>
        <w:t>subband</w:t>
      </w:r>
      <w:proofErr w:type="spellEnd"/>
      <w:r>
        <w:rPr>
          <w:b/>
          <w:i/>
        </w:rPr>
        <w:t xml:space="preserve"> interference should be further discussed.</w:t>
      </w:r>
    </w:p>
    <w:p w14:paraId="6BCF785E" w14:textId="77777777" w:rsidR="0083406E" w:rsidRPr="008575B1" w:rsidRDefault="0083406E"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2508D595"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893344">
        <w:t xml:space="preserve"> observation and</w:t>
      </w:r>
      <w:r w:rsidR="00312E2F">
        <w:t xml:space="preserve"> </w:t>
      </w:r>
      <w:r w:rsidRPr="00086BFD">
        <w:t>proposal</w:t>
      </w:r>
      <w:r w:rsidR="00C854F5">
        <w:t>s</w:t>
      </w:r>
      <w:r w:rsidRPr="00086BFD">
        <w:t>:</w:t>
      </w:r>
    </w:p>
    <w:p w14:paraId="7BCCE27D" w14:textId="1C4B48B3" w:rsidR="00237339" w:rsidRDefault="009C285E" w:rsidP="00237339">
      <w:pPr>
        <w:jc w:val="both"/>
        <w:rPr>
          <w:lang w:val="en-US"/>
        </w:rPr>
      </w:pPr>
      <w:r>
        <w:rPr>
          <w:b/>
          <w:i/>
        </w:rPr>
        <w:t xml:space="preserve">Observation 1: Unlike in-band blocking, the interference source of in-channel adjacent </w:t>
      </w:r>
      <w:proofErr w:type="spellStart"/>
      <w:r>
        <w:rPr>
          <w:b/>
          <w:i/>
        </w:rPr>
        <w:t>subband</w:t>
      </w:r>
      <w:proofErr w:type="spellEnd"/>
      <w:r>
        <w:rPr>
          <w:b/>
          <w:i/>
        </w:rPr>
        <w:t xml:space="preserve"> blocking can be mitigated by CLI handling techniques.</w:t>
      </w:r>
      <w:bookmarkStart w:id="2" w:name="_GoBack"/>
      <w:bookmarkEnd w:id="2"/>
    </w:p>
    <w:p w14:paraId="6126567C" w14:textId="77777777" w:rsidR="009C285E" w:rsidRDefault="009C285E" w:rsidP="009C285E">
      <w:pPr>
        <w:jc w:val="both"/>
      </w:pPr>
      <w:r>
        <w:rPr>
          <w:b/>
          <w:i/>
        </w:rPr>
        <w:t xml:space="preserve">Observation 2: How to accommodate the CLI handling capability with the in-channel adjacent </w:t>
      </w:r>
      <w:proofErr w:type="spellStart"/>
      <w:r>
        <w:rPr>
          <w:b/>
          <w:i/>
        </w:rPr>
        <w:t>subband</w:t>
      </w:r>
      <w:proofErr w:type="spellEnd"/>
      <w:r>
        <w:rPr>
          <w:b/>
          <w:i/>
        </w:rPr>
        <w:t xml:space="preserve"> interference should be further discussed.</w:t>
      </w:r>
    </w:p>
    <w:p w14:paraId="586D7FCE" w14:textId="77777777" w:rsidR="00237339" w:rsidRPr="009C285E" w:rsidRDefault="00237339" w:rsidP="002C082F">
      <w:pPr>
        <w:jc w:val="both"/>
        <w:rPr>
          <w:b/>
          <w:i/>
        </w:rPr>
      </w:pPr>
    </w:p>
    <w:p w14:paraId="0258A17B" w14:textId="77777777" w:rsidR="002C082F" w:rsidRPr="00B46FD3" w:rsidRDefault="002C082F" w:rsidP="002C082F">
      <w:pPr>
        <w:jc w:val="both"/>
        <w:rPr>
          <w:b/>
          <w:i/>
        </w:rPr>
      </w:pPr>
      <w:r>
        <w:rPr>
          <w:b/>
          <w:i/>
        </w:rPr>
        <w:t xml:space="preserve">Proposal 1: For the </w:t>
      </w:r>
      <w:r w:rsidRPr="00B46FD3">
        <w:rPr>
          <w:b/>
          <w:i/>
        </w:rPr>
        <w:t>transient period between SBFD and non-SBFD</w:t>
      </w:r>
      <w:r>
        <w:rPr>
          <w:b/>
          <w:i/>
        </w:rPr>
        <w:t xml:space="preserve"> slot, suggest that it should be located </w:t>
      </w:r>
      <w:r w:rsidRPr="00B46FD3">
        <w:rPr>
          <w:b/>
          <w:i/>
        </w:rPr>
        <w:t xml:space="preserve">within the SBFD slot/symbol. </w:t>
      </w:r>
    </w:p>
    <w:p w14:paraId="6B40ECBE" w14:textId="7B68A7FA" w:rsidR="00F37F9C" w:rsidRDefault="00F37F9C" w:rsidP="00F37F9C">
      <w:pPr>
        <w:jc w:val="both"/>
        <w:rPr>
          <w:b/>
          <w:i/>
        </w:rPr>
      </w:pPr>
      <w:r>
        <w:rPr>
          <w:b/>
          <w:i/>
        </w:rPr>
        <w:t xml:space="preserve">Proposal </w:t>
      </w:r>
      <w:r w:rsidR="002C082F">
        <w:rPr>
          <w:b/>
          <w:i/>
        </w:rPr>
        <w:t>2</w:t>
      </w:r>
      <w:r>
        <w:rPr>
          <w:b/>
          <w:i/>
        </w:rPr>
        <w:t xml:space="preserve">: Suggest to use the value of existing ACLR requirement as starting point for </w:t>
      </w:r>
      <w:r w:rsidRPr="00E71A93">
        <w:rPr>
          <w:b/>
          <w:i/>
        </w:rPr>
        <w:t xml:space="preserve">in-channel adjacent </w:t>
      </w:r>
      <w:proofErr w:type="spellStart"/>
      <w:r w:rsidRPr="00E71A93">
        <w:rPr>
          <w:b/>
          <w:i/>
        </w:rPr>
        <w:t>subband</w:t>
      </w:r>
      <w:proofErr w:type="spellEnd"/>
      <w:r w:rsidRPr="00E71A93">
        <w:rPr>
          <w:b/>
          <w:i/>
        </w:rPr>
        <w:t xml:space="preserve"> leakage ratio</w:t>
      </w:r>
      <w:r>
        <w:rPr>
          <w:b/>
          <w:i/>
        </w:rPr>
        <w:t xml:space="preserve">. </w:t>
      </w:r>
    </w:p>
    <w:p w14:paraId="582DBD11" w14:textId="34C7306E" w:rsidR="006F2DB8" w:rsidRPr="00F37F9C" w:rsidRDefault="00F37F9C" w:rsidP="00F37F9C">
      <w:pPr>
        <w:pStyle w:val="aff6"/>
        <w:numPr>
          <w:ilvl w:val="0"/>
          <w:numId w:val="21"/>
        </w:numPr>
        <w:ind w:firstLineChars="0"/>
        <w:rPr>
          <w:rFonts w:ascii="Times New Roman" w:hAnsi="Times New Roman"/>
          <w:b/>
          <w:i/>
          <w:kern w:val="0"/>
          <w:sz w:val="20"/>
          <w:szCs w:val="20"/>
          <w:lang w:val="en-GB" w:eastAsia="zh-CN"/>
        </w:rPr>
      </w:pPr>
      <w:r w:rsidRPr="00F37F9C">
        <w:rPr>
          <w:rFonts w:ascii="Times New Roman" w:hAnsi="Times New Roman"/>
          <w:b/>
          <w:i/>
          <w:kern w:val="0"/>
          <w:sz w:val="20"/>
          <w:szCs w:val="20"/>
          <w:lang w:val="en-GB" w:eastAsia="zh-CN"/>
        </w:rPr>
        <w:t xml:space="preserve">Whether to use the power sum of two DL </w:t>
      </w:r>
      <w:proofErr w:type="spellStart"/>
      <w:r w:rsidRPr="00F37F9C">
        <w:rPr>
          <w:rFonts w:ascii="Times New Roman" w:hAnsi="Times New Roman"/>
          <w:b/>
          <w:i/>
          <w:kern w:val="0"/>
          <w:sz w:val="20"/>
          <w:szCs w:val="20"/>
          <w:lang w:val="en-GB" w:eastAsia="zh-CN"/>
        </w:rPr>
        <w:t>subbands</w:t>
      </w:r>
      <w:proofErr w:type="spellEnd"/>
      <w:r w:rsidRPr="00F37F9C">
        <w:rPr>
          <w:rFonts w:ascii="Times New Roman" w:hAnsi="Times New Roman"/>
          <w:b/>
          <w:i/>
          <w:kern w:val="0"/>
          <w:sz w:val="20"/>
          <w:szCs w:val="20"/>
          <w:lang w:val="en-GB" w:eastAsia="zh-CN"/>
        </w:rPr>
        <w:t xml:space="preserve"> for DUD case should be further discussed</w:t>
      </w:r>
      <w:r w:rsidR="006F2DB8" w:rsidRPr="00F37F9C">
        <w:rPr>
          <w:rFonts w:ascii="Times New Roman" w:hAnsi="Times New Roman"/>
          <w:b/>
          <w:i/>
          <w:kern w:val="0"/>
          <w:sz w:val="20"/>
          <w:szCs w:val="20"/>
          <w:lang w:val="en-GB" w:eastAsia="zh-CN"/>
        </w:rPr>
        <w:t>.</w:t>
      </w:r>
    </w:p>
    <w:p w14:paraId="7E1E913B" w14:textId="77777777" w:rsidR="00664EEC" w:rsidRDefault="00664EEC" w:rsidP="006F2DB8">
      <w:pPr>
        <w:jc w:val="both"/>
        <w:rPr>
          <w:b/>
          <w:i/>
        </w:rPr>
      </w:pPr>
    </w:p>
    <w:p w14:paraId="18CB83EC" w14:textId="77777777" w:rsidR="00472976" w:rsidRPr="00472976" w:rsidRDefault="00472976"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54742034" w14:textId="6C897B92" w:rsidR="0084780F" w:rsidRPr="00B50B32" w:rsidRDefault="009E2A52" w:rsidP="009E2A52">
      <w:pPr>
        <w:numPr>
          <w:ilvl w:val="0"/>
          <w:numId w:val="10"/>
        </w:numPr>
        <w:tabs>
          <w:tab w:val="clear" w:pos="720"/>
          <w:tab w:val="num" w:pos="426"/>
        </w:tabs>
        <w:overflowPunct/>
        <w:autoSpaceDE/>
        <w:autoSpaceDN/>
        <w:adjustRightInd/>
        <w:ind w:left="426" w:hanging="426"/>
        <w:jc w:val="both"/>
        <w:textAlignment w:val="auto"/>
      </w:pPr>
      <w:r>
        <w:t>R4-2419908</w:t>
      </w:r>
      <w:r w:rsidR="003912D4">
        <w:t xml:space="preserve">, </w:t>
      </w:r>
      <w:r w:rsidR="003912D4" w:rsidRPr="001D14BB">
        <w:t>“</w:t>
      </w:r>
      <w:r w:rsidR="003912D4" w:rsidRPr="000669F9">
        <w:t xml:space="preserve">Way Forward for </w:t>
      </w:r>
      <w:r w:rsidR="003912D4" w:rsidRPr="00C36C43">
        <w:t>[</w:t>
      </w:r>
      <w:r w:rsidR="003912D4" w:rsidRPr="00F535DB">
        <w:t>11</w:t>
      </w:r>
      <w:r w:rsidR="008853EE">
        <w:t>3</w:t>
      </w:r>
      <w:r w:rsidR="003912D4" w:rsidRPr="00F535DB">
        <w:t>][306</w:t>
      </w:r>
      <w:r w:rsidR="003912D4" w:rsidRPr="00C36C43">
        <w:t xml:space="preserve">] </w:t>
      </w:r>
      <w:proofErr w:type="spellStart"/>
      <w:r w:rsidR="008853EE" w:rsidRPr="008853EE">
        <w:t>NR_duplex_evo_BSRF</w:t>
      </w:r>
      <w:proofErr w:type="spellEnd"/>
      <w:r w:rsidR="003912D4" w:rsidRPr="001D14BB">
        <w:t xml:space="preserve">”, </w:t>
      </w:r>
      <w:r w:rsidR="003912D4">
        <w:t>Samsung</w:t>
      </w:r>
      <w:r w:rsidR="003912D4" w:rsidRPr="001D14BB">
        <w:t>, 3GPP TSG-RAN</w:t>
      </w:r>
      <w:r w:rsidR="003912D4">
        <w:t>4</w:t>
      </w:r>
      <w:r w:rsidR="003912D4" w:rsidRPr="001D14BB">
        <w:t xml:space="preserve"> Meeting #1</w:t>
      </w:r>
      <w:r w:rsidR="003912D4">
        <w:t>1</w:t>
      </w:r>
      <w:r w:rsidR="008853EE">
        <w:t>3</w:t>
      </w:r>
      <w:r w:rsidR="003912D4" w:rsidRPr="001D14BB">
        <w:t xml:space="preserve">, </w:t>
      </w:r>
      <w:r w:rsidR="008853EE">
        <w:t>Orlando</w:t>
      </w:r>
      <w:r w:rsidR="008853EE" w:rsidRPr="00C36C43">
        <w:t xml:space="preserve">, </w:t>
      </w:r>
      <w:r w:rsidR="008853EE">
        <w:t>USA,</w:t>
      </w:r>
      <w:r w:rsidR="008853EE" w:rsidRPr="001D14BB">
        <w:t xml:space="preserve"> </w:t>
      </w:r>
      <w:r w:rsidR="008853EE">
        <w:t>November</w:t>
      </w:r>
      <w:r w:rsidR="008853EE" w:rsidRPr="001D14BB">
        <w:t xml:space="preserve"> </w:t>
      </w:r>
      <w:r w:rsidR="008853EE">
        <w:t>18-22</w:t>
      </w:r>
      <w:r w:rsidR="008853EE" w:rsidRPr="001D14BB">
        <w:t xml:space="preserve">, </w:t>
      </w:r>
      <w:r w:rsidR="001D14BB" w:rsidRPr="001D14BB">
        <w:t>2024</w:t>
      </w:r>
      <w:r w:rsidR="00BB41AF">
        <w:t>.</w:t>
      </w:r>
    </w:p>
    <w:sectPr w:rsidR="0084780F" w:rsidRPr="00B50B32"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58A6C" w14:textId="77777777" w:rsidR="00B82D52" w:rsidRDefault="00B82D52" w:rsidP="0052762B">
      <w:r>
        <w:separator/>
      </w:r>
    </w:p>
  </w:endnote>
  <w:endnote w:type="continuationSeparator" w:id="0">
    <w:p w14:paraId="7CFE8EF2" w14:textId="77777777" w:rsidR="00B82D52" w:rsidRDefault="00B82D5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C0926" w14:textId="77777777" w:rsidR="00B82D52" w:rsidRDefault="00B82D52" w:rsidP="0052762B">
      <w:r>
        <w:separator/>
      </w:r>
    </w:p>
  </w:footnote>
  <w:footnote w:type="continuationSeparator" w:id="0">
    <w:p w14:paraId="72BCF969" w14:textId="77777777" w:rsidR="00B82D52" w:rsidRDefault="00B82D5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6"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9"/>
  </w:num>
  <w:num w:numId="4">
    <w:abstractNumId w:val="18"/>
  </w:num>
  <w:num w:numId="5">
    <w:abstractNumId w:val="17"/>
  </w:num>
  <w:num w:numId="6">
    <w:abstractNumId w:val="5"/>
  </w:num>
  <w:num w:numId="7">
    <w:abstractNumId w:val="14"/>
  </w:num>
  <w:num w:numId="8">
    <w:abstractNumId w:val="20"/>
  </w:num>
  <w:num w:numId="9">
    <w:abstractNumId w:val="4"/>
  </w:num>
  <w:num w:numId="10">
    <w:abstractNumId w:val="19"/>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1"/>
  </w:num>
  <w:num w:numId="14">
    <w:abstractNumId w:val="16"/>
  </w:num>
  <w:num w:numId="15">
    <w:abstractNumId w:val="1"/>
  </w:num>
  <w:num w:numId="16">
    <w:abstractNumId w:val="8"/>
  </w:num>
  <w:num w:numId="17">
    <w:abstractNumId w:val="0"/>
  </w:num>
  <w:num w:numId="18">
    <w:abstractNumId w:val="3"/>
  </w:num>
  <w:num w:numId="19">
    <w:abstractNumId w:val="10"/>
  </w:num>
  <w:num w:numId="20">
    <w:abstractNumId w:val="12"/>
  </w:num>
  <w:num w:numId="21">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747"/>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C25"/>
    <w:rsid w:val="008860A1"/>
    <w:rsid w:val="008863CE"/>
    <w:rsid w:val="00886860"/>
    <w:rsid w:val="00886ED0"/>
    <w:rsid w:val="00887C45"/>
    <w:rsid w:val="008900E8"/>
    <w:rsid w:val="0089180C"/>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5DA8"/>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4A"/>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1F5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E4E"/>
    <w:rsid w:val="00FB05A4"/>
    <w:rsid w:val="00FB066E"/>
    <w:rsid w:val="00FB06B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E80A7-95B6-4275-931F-FF260FD9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1997</TotalTime>
  <Pages>3</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97</cp:revision>
  <cp:lastPrinted>2010-01-07T02:23:00Z</cp:lastPrinted>
  <dcterms:created xsi:type="dcterms:W3CDTF">2024-05-13T12:12:00Z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